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000" w:firstRow="0" w:lastRow="0" w:firstColumn="0" w:lastColumn="0" w:noHBand="0" w:noVBand="0"/>
      </w:tblPr>
      <w:tblGrid>
        <w:gridCol w:w="15618"/>
      </w:tblGrid>
      <w:tr w:rsidR="00EB5962" w14:paraId="02B02A25" w14:textId="77777777">
        <w:tc>
          <w:tcPr>
            <w:tcW w:w="15618"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237"/>
              <w:gridCol w:w="3016"/>
              <w:gridCol w:w="5118"/>
              <w:gridCol w:w="5720"/>
            </w:tblGrid>
            <w:tr w:rsidR="00580C34" w14:paraId="534BFCB4" w14:textId="77777777" w:rsidTr="00C7179D">
              <w:trPr>
                <w:trHeight w:val="412"/>
              </w:trPr>
              <w:tc>
                <w:tcPr>
                  <w:tcW w:w="15091" w:type="dxa"/>
                  <w:gridSpan w:val="4"/>
                  <w:tcBorders>
                    <w:top w:val="single" w:sz="4" w:space="0" w:color="auto"/>
                    <w:left w:val="single" w:sz="4" w:space="0" w:color="auto"/>
                    <w:bottom w:val="nil"/>
                    <w:right w:val="single" w:sz="4" w:space="0" w:color="auto"/>
                  </w:tcBorders>
                  <w:shd w:val="clear" w:color="auto" w:fill="0070C0"/>
                  <w:tcMar>
                    <w:top w:w="39" w:type="dxa"/>
                    <w:left w:w="39" w:type="dxa"/>
                    <w:bottom w:w="39" w:type="dxa"/>
                    <w:right w:w="39" w:type="dxa"/>
                  </w:tcMar>
                  <w:vAlign w:val="center"/>
                </w:tcPr>
                <w:p w14:paraId="4476C186" w14:textId="08DD7982" w:rsidR="00EB5962" w:rsidRPr="00ED7B3A" w:rsidRDefault="00580C34" w:rsidP="00580C34">
                  <w:pPr>
                    <w:spacing w:after="0" w:line="240" w:lineRule="auto"/>
                    <w:jc w:val="center"/>
                    <w:rPr>
                      <w:b/>
                      <w:bCs/>
                      <w:color w:val="FFFFFF" w:themeColor="background1"/>
                      <w:sz w:val="24"/>
                      <w:szCs w:val="24"/>
                    </w:rPr>
                  </w:pPr>
                  <w:r w:rsidRPr="00ED7B3A">
                    <w:rPr>
                      <w:b/>
                      <w:bCs/>
                      <w:color w:val="FFFFFF" w:themeColor="background1"/>
                      <w:sz w:val="24"/>
                      <w:szCs w:val="24"/>
                    </w:rPr>
                    <w:t>POPIS UDRUGA PRIJAVE KOJIH NE ISPUNJAVAJU UVJETE JAVNOG NATJEČAJA ZA FINANCIRANJE TROGODIŠNJIH PROGRAMA UDRUGA IZ PODRUČJA RAZVOJA MREŽE SOCIJALNIH USLUGA USMJERENIH PRIORITETNIM KORISNIČKIM SKUPINAMA ZA RAZDOBLJE OD 2026. DO 2028. GODINE  IZ PRORAČUNA GRADA ZAGREBA</w:t>
                  </w:r>
                </w:p>
              </w:tc>
            </w:tr>
            <w:tr w:rsidR="00C7179D" w14:paraId="17BE0CEE" w14:textId="77777777" w:rsidTr="00C7179D">
              <w:trPr>
                <w:trHeight w:val="262"/>
              </w:trPr>
              <w:tc>
                <w:tcPr>
                  <w:tcW w:w="15091" w:type="dxa"/>
                  <w:gridSpan w:val="4"/>
                  <w:tcBorders>
                    <w:top w:val="nil"/>
                    <w:left w:val="single" w:sz="4" w:space="0" w:color="auto"/>
                    <w:bottom w:val="single" w:sz="4" w:space="0" w:color="auto"/>
                    <w:right w:val="single" w:sz="4" w:space="0" w:color="auto"/>
                  </w:tcBorders>
                  <w:tcMar>
                    <w:top w:w="39" w:type="dxa"/>
                    <w:left w:w="39" w:type="dxa"/>
                    <w:bottom w:w="39" w:type="dxa"/>
                    <w:right w:w="39" w:type="dxa"/>
                  </w:tcMar>
                  <w:vAlign w:val="center"/>
                </w:tcPr>
                <w:p w14:paraId="7B5627F2" w14:textId="77777777" w:rsidR="00C7179D" w:rsidRPr="00ED7B3A" w:rsidRDefault="00C7179D" w:rsidP="00580C34">
                  <w:pPr>
                    <w:suppressAutoHyphens/>
                    <w:autoSpaceDN w:val="0"/>
                    <w:spacing w:before="120" w:after="0" w:line="360" w:lineRule="auto"/>
                    <w:jc w:val="center"/>
                    <w:rPr>
                      <w:sz w:val="22"/>
                      <w:szCs w:val="22"/>
                    </w:rPr>
                  </w:pPr>
                  <w:r w:rsidRPr="00ED7B3A">
                    <w:rPr>
                      <w:sz w:val="22"/>
                      <w:szCs w:val="22"/>
                    </w:rPr>
                    <w:t>OVAJ POPIS OBJAVLJEN JE NA INTERNETSKOJ STRANICI GRADA ZAGREBA dana 13. svibnja 2026.</w:t>
                  </w:r>
                </w:p>
                <w:p w14:paraId="33477171" w14:textId="77777777" w:rsidR="00C7179D" w:rsidRPr="00ED7B3A" w:rsidRDefault="00C7179D" w:rsidP="00580C34">
                  <w:pPr>
                    <w:suppressAutoHyphens/>
                    <w:autoSpaceDN w:val="0"/>
                    <w:spacing w:before="120" w:after="0" w:line="360" w:lineRule="auto"/>
                    <w:jc w:val="center"/>
                    <w:rPr>
                      <w:sz w:val="22"/>
                      <w:szCs w:val="22"/>
                    </w:rPr>
                  </w:pPr>
                  <w:r w:rsidRPr="00ED7B3A">
                    <w:rPr>
                      <w:sz w:val="22"/>
                      <w:szCs w:val="22"/>
                    </w:rPr>
                    <w:t>ROK ZA PODNOŠENJE PRIGOVORA NA POPIS JE OSAM DANA OD OBJAVE, ZAKLJUČNO 21. svibnja 2026.</w:t>
                  </w:r>
                </w:p>
                <w:p w14:paraId="56D7BFB6" w14:textId="77777777" w:rsidR="00C7179D" w:rsidRPr="00415C50" w:rsidRDefault="00C7179D" w:rsidP="00580C34">
                  <w:pPr>
                    <w:suppressAutoHyphens/>
                    <w:autoSpaceDN w:val="0"/>
                    <w:spacing w:after="0" w:line="240" w:lineRule="auto"/>
                    <w:jc w:val="center"/>
                    <w:rPr>
                      <w:sz w:val="24"/>
                      <w:szCs w:val="24"/>
                    </w:rPr>
                  </w:pPr>
                  <w:r w:rsidRPr="00415C50">
                    <w:rPr>
                      <w:sz w:val="24"/>
                      <w:szCs w:val="24"/>
                    </w:rPr>
                    <w:t>Prigovor se podnosi gradonačelniku Grada Zagreba, u pisanom obliku, putem Gradskog ureda za socijalnu zaštitu, zdravstvo, branitelje</w:t>
                  </w:r>
                </w:p>
                <w:p w14:paraId="2DE283C8" w14:textId="77777777" w:rsidR="00C7179D" w:rsidRPr="00415C50" w:rsidRDefault="00C7179D" w:rsidP="00580C34">
                  <w:pPr>
                    <w:suppressAutoHyphens/>
                    <w:autoSpaceDN w:val="0"/>
                    <w:spacing w:after="0" w:line="240" w:lineRule="auto"/>
                    <w:jc w:val="center"/>
                    <w:rPr>
                      <w:sz w:val="24"/>
                      <w:szCs w:val="24"/>
                    </w:rPr>
                  </w:pPr>
                  <w:r w:rsidRPr="00415C50">
                    <w:rPr>
                      <w:sz w:val="24"/>
                      <w:szCs w:val="24"/>
                    </w:rPr>
                    <w:t>i osobe s invaliditetom, Sektora za socijalnu zaštitu, Odjela socijalne zaštite, Odsjeka za udruge,</w:t>
                  </w:r>
                </w:p>
                <w:p w14:paraId="65E66140" w14:textId="77777777" w:rsidR="00C7179D" w:rsidRPr="00415C50" w:rsidRDefault="00C7179D" w:rsidP="00580C34">
                  <w:pPr>
                    <w:suppressAutoHyphens/>
                    <w:autoSpaceDN w:val="0"/>
                    <w:spacing w:after="0" w:line="240" w:lineRule="auto"/>
                    <w:jc w:val="center"/>
                    <w:rPr>
                      <w:sz w:val="24"/>
                      <w:szCs w:val="24"/>
                    </w:rPr>
                  </w:pPr>
                  <w:r w:rsidRPr="00415C50">
                    <w:rPr>
                      <w:sz w:val="24"/>
                      <w:szCs w:val="24"/>
                    </w:rPr>
                    <w:t>Prilaz Ivana Visina 1-3, 10000 Zagreb</w:t>
                  </w:r>
                </w:p>
                <w:p w14:paraId="205DA8B9" w14:textId="01E8A747" w:rsidR="00C7179D" w:rsidRDefault="00C7179D">
                  <w:pPr>
                    <w:spacing w:after="0" w:line="240" w:lineRule="auto"/>
                  </w:pPr>
                </w:p>
              </w:tc>
            </w:tr>
            <w:tr w:rsidR="00580C34" w14:paraId="2F2B7075" w14:textId="77777777" w:rsidTr="00C7179D">
              <w:trPr>
                <w:trHeight w:val="778"/>
              </w:trPr>
              <w:tc>
                <w:tcPr>
                  <w:tcW w:w="1237" w:type="dxa"/>
                  <w:tcBorders>
                    <w:top w:val="single" w:sz="4" w:space="0" w:color="auto"/>
                    <w:left w:val="nil"/>
                    <w:bottom w:val="nil"/>
                    <w:right w:val="single" w:sz="7" w:space="0" w:color="000000"/>
                  </w:tcBorders>
                  <w:shd w:val="clear" w:color="auto" w:fill="0070C0"/>
                  <w:tcMar>
                    <w:top w:w="39" w:type="dxa"/>
                    <w:left w:w="39" w:type="dxa"/>
                    <w:bottom w:w="39" w:type="dxa"/>
                    <w:right w:w="39" w:type="dxa"/>
                  </w:tcMar>
                  <w:vAlign w:val="center"/>
                </w:tcPr>
                <w:p w14:paraId="075F878E" w14:textId="77777777" w:rsidR="00EB5962" w:rsidRPr="00761095" w:rsidRDefault="00822B92">
                  <w:pPr>
                    <w:spacing w:after="0" w:line="240" w:lineRule="auto"/>
                    <w:jc w:val="center"/>
                    <w:rPr>
                      <w:sz w:val="22"/>
                      <w:szCs w:val="22"/>
                    </w:rPr>
                  </w:pPr>
                  <w:r w:rsidRPr="00761095">
                    <w:rPr>
                      <w:rFonts w:eastAsia="Arial"/>
                      <w:b/>
                      <w:color w:val="FFFFFF"/>
                      <w:sz w:val="22"/>
                      <w:szCs w:val="22"/>
                    </w:rPr>
                    <w:t>Redni broj</w:t>
                  </w:r>
                </w:p>
              </w:tc>
              <w:tc>
                <w:tcPr>
                  <w:tcW w:w="3016" w:type="dxa"/>
                  <w:tcBorders>
                    <w:top w:val="single" w:sz="4" w:space="0" w:color="auto"/>
                    <w:left w:val="nil"/>
                    <w:bottom w:val="nil"/>
                    <w:right w:val="single" w:sz="7" w:space="0" w:color="000000"/>
                  </w:tcBorders>
                  <w:shd w:val="clear" w:color="auto" w:fill="0070C0"/>
                  <w:tcMar>
                    <w:top w:w="39" w:type="dxa"/>
                    <w:left w:w="39" w:type="dxa"/>
                    <w:bottom w:w="39" w:type="dxa"/>
                    <w:right w:w="39" w:type="dxa"/>
                  </w:tcMar>
                  <w:vAlign w:val="center"/>
                </w:tcPr>
                <w:p w14:paraId="76E00084" w14:textId="6AAE4841" w:rsidR="00EB5962" w:rsidRPr="00761095" w:rsidRDefault="00822B92">
                  <w:pPr>
                    <w:spacing w:after="0" w:line="240" w:lineRule="auto"/>
                    <w:jc w:val="center"/>
                    <w:rPr>
                      <w:sz w:val="22"/>
                      <w:szCs w:val="22"/>
                    </w:rPr>
                  </w:pPr>
                  <w:r w:rsidRPr="00761095">
                    <w:rPr>
                      <w:rFonts w:eastAsia="Arial"/>
                      <w:b/>
                      <w:color w:val="FFFFFF"/>
                      <w:sz w:val="22"/>
                      <w:szCs w:val="22"/>
                    </w:rPr>
                    <w:t>Naziv podnositelja</w:t>
                  </w:r>
                  <w:r w:rsidR="00FC0D3A" w:rsidRPr="00761095">
                    <w:rPr>
                      <w:rFonts w:eastAsia="Arial"/>
                      <w:b/>
                      <w:color w:val="FFFFFF"/>
                      <w:sz w:val="22"/>
                      <w:szCs w:val="22"/>
                    </w:rPr>
                    <w:t xml:space="preserve"> prijave</w:t>
                  </w:r>
                </w:p>
              </w:tc>
              <w:tc>
                <w:tcPr>
                  <w:tcW w:w="5118" w:type="dxa"/>
                  <w:tcBorders>
                    <w:top w:val="single" w:sz="4" w:space="0" w:color="auto"/>
                    <w:left w:val="nil"/>
                    <w:bottom w:val="nil"/>
                    <w:right w:val="single" w:sz="7" w:space="0" w:color="000000"/>
                  </w:tcBorders>
                  <w:shd w:val="clear" w:color="auto" w:fill="0070C0"/>
                  <w:tcMar>
                    <w:top w:w="39" w:type="dxa"/>
                    <w:left w:w="39" w:type="dxa"/>
                    <w:bottom w:w="39" w:type="dxa"/>
                    <w:right w:w="39" w:type="dxa"/>
                  </w:tcMar>
                  <w:vAlign w:val="center"/>
                </w:tcPr>
                <w:p w14:paraId="05C88388" w14:textId="6CF1C57E" w:rsidR="00EB5962" w:rsidRPr="00761095" w:rsidRDefault="00822B92">
                  <w:pPr>
                    <w:spacing w:after="0" w:line="240" w:lineRule="auto"/>
                    <w:jc w:val="center"/>
                    <w:rPr>
                      <w:sz w:val="22"/>
                      <w:szCs w:val="22"/>
                    </w:rPr>
                  </w:pPr>
                  <w:r w:rsidRPr="00761095">
                    <w:rPr>
                      <w:rFonts w:eastAsia="Arial"/>
                      <w:b/>
                      <w:color w:val="FFFFFF"/>
                      <w:sz w:val="22"/>
                      <w:szCs w:val="22"/>
                    </w:rPr>
                    <w:t xml:space="preserve">Naziv </w:t>
                  </w:r>
                  <w:r w:rsidR="00FC0D3A" w:rsidRPr="00761095">
                    <w:rPr>
                      <w:rFonts w:eastAsia="Arial"/>
                      <w:b/>
                      <w:color w:val="FFFFFF"/>
                      <w:sz w:val="22"/>
                      <w:szCs w:val="22"/>
                    </w:rPr>
                    <w:t>programa</w:t>
                  </w:r>
                </w:p>
              </w:tc>
              <w:tc>
                <w:tcPr>
                  <w:tcW w:w="5720" w:type="dxa"/>
                  <w:tcBorders>
                    <w:top w:val="single" w:sz="4" w:space="0" w:color="auto"/>
                    <w:left w:val="nil"/>
                    <w:bottom w:val="nil"/>
                    <w:right w:val="single" w:sz="7" w:space="0" w:color="000000"/>
                  </w:tcBorders>
                  <w:shd w:val="clear" w:color="auto" w:fill="0070C0"/>
                  <w:tcMar>
                    <w:top w:w="39" w:type="dxa"/>
                    <w:left w:w="39" w:type="dxa"/>
                    <w:bottom w:w="39" w:type="dxa"/>
                    <w:right w:w="39" w:type="dxa"/>
                  </w:tcMar>
                  <w:vAlign w:val="center"/>
                </w:tcPr>
                <w:p w14:paraId="786AAAE8" w14:textId="77777777" w:rsidR="00EB5962" w:rsidRPr="00761095" w:rsidRDefault="00822B92">
                  <w:pPr>
                    <w:spacing w:after="0" w:line="240" w:lineRule="auto"/>
                    <w:jc w:val="center"/>
                    <w:rPr>
                      <w:sz w:val="22"/>
                      <w:szCs w:val="22"/>
                    </w:rPr>
                  </w:pPr>
                  <w:r w:rsidRPr="00761095">
                    <w:rPr>
                      <w:rFonts w:eastAsia="Arial"/>
                      <w:b/>
                      <w:color w:val="FFFFFF"/>
                      <w:sz w:val="22"/>
                      <w:szCs w:val="22"/>
                    </w:rPr>
                    <w:t>Razlog neispunjavanja uvjeta natječaja</w:t>
                  </w:r>
                </w:p>
              </w:tc>
            </w:tr>
            <w:tr w:rsidR="00580C34" w14:paraId="4FD4EAE8" w14:textId="77777777" w:rsidTr="00761095">
              <w:trPr>
                <w:trHeight w:val="262"/>
              </w:trPr>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D14B563" w14:textId="77777777" w:rsidR="00EB5962" w:rsidRPr="00761095" w:rsidRDefault="00822B92">
                  <w:pPr>
                    <w:spacing w:after="0" w:line="240" w:lineRule="auto"/>
                    <w:jc w:val="center"/>
                    <w:rPr>
                      <w:sz w:val="22"/>
                      <w:szCs w:val="22"/>
                    </w:rPr>
                  </w:pPr>
                  <w:r w:rsidRPr="00761095">
                    <w:rPr>
                      <w:rFonts w:eastAsia="Arial"/>
                      <w:color w:val="000000"/>
                      <w:sz w:val="22"/>
                      <w:szCs w:val="22"/>
                    </w:rPr>
                    <w:t>1.</w:t>
                  </w:r>
                </w:p>
              </w:tc>
              <w:tc>
                <w:tcPr>
                  <w:tcW w:w="3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E7F6711" w14:textId="77777777" w:rsidR="00EB5962" w:rsidRPr="00761095" w:rsidRDefault="00822B92">
                  <w:pPr>
                    <w:spacing w:after="0" w:line="240" w:lineRule="auto"/>
                    <w:jc w:val="center"/>
                    <w:rPr>
                      <w:sz w:val="22"/>
                      <w:szCs w:val="22"/>
                    </w:rPr>
                  </w:pPr>
                  <w:r w:rsidRPr="00761095">
                    <w:rPr>
                      <w:rFonts w:eastAsia="Arial"/>
                      <w:color w:val="000000"/>
                      <w:sz w:val="22"/>
                      <w:szCs w:val="22"/>
                    </w:rPr>
                    <w:t>Centar za razvoj mladih</w:t>
                  </w:r>
                </w:p>
              </w:tc>
              <w:tc>
                <w:tcPr>
                  <w:tcW w:w="51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E1C6ED5" w14:textId="77777777" w:rsidR="00EB5962" w:rsidRPr="00761095" w:rsidRDefault="00822B92">
                  <w:pPr>
                    <w:spacing w:after="0" w:line="240" w:lineRule="auto"/>
                    <w:jc w:val="center"/>
                    <w:rPr>
                      <w:sz w:val="22"/>
                      <w:szCs w:val="22"/>
                    </w:rPr>
                  </w:pPr>
                  <w:r w:rsidRPr="00761095">
                    <w:rPr>
                      <w:rFonts w:eastAsia="Arial"/>
                      <w:color w:val="000000"/>
                      <w:sz w:val="22"/>
                      <w:szCs w:val="22"/>
                    </w:rPr>
                    <w:t>U IGRI ZAJEDNO – sportska inkluzija osoba s invaliditetom u zajednicu</w:t>
                  </w:r>
                </w:p>
              </w:tc>
              <w:tc>
                <w:tcPr>
                  <w:tcW w:w="57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41A9B7B" w14:textId="77777777" w:rsidR="00761095" w:rsidRDefault="00822B92" w:rsidP="00761095">
                  <w:pPr>
                    <w:spacing w:after="0" w:line="240" w:lineRule="auto"/>
                    <w:jc w:val="both"/>
                    <w:rPr>
                      <w:rFonts w:eastAsia="Arial"/>
                      <w:color w:val="000000"/>
                      <w:sz w:val="22"/>
                      <w:szCs w:val="22"/>
                    </w:rPr>
                  </w:pPr>
                  <w:r w:rsidRPr="00761095">
                    <w:rPr>
                      <w:rFonts w:eastAsia="Arial"/>
                      <w:color w:val="000000"/>
                      <w:sz w:val="22"/>
                      <w:szCs w:val="22"/>
                    </w:rPr>
                    <w:t>Podnositelj prijave ne ispunjava uvjet iz točke 2. Javnog natječaja – iznos koji se traži od Grada Zagreba za provedbu programa u 2027. i  2028. godini veći je od najvećeg iznosa koji se može prijaviti i ugovoriti po pojedinom programu za svaku godinu prov</w:t>
                  </w:r>
                  <w:r w:rsidR="00761095">
                    <w:rPr>
                      <w:rFonts w:eastAsia="Arial"/>
                      <w:color w:val="000000"/>
                      <w:sz w:val="22"/>
                      <w:szCs w:val="22"/>
                    </w:rPr>
                    <w:t>edbe;</w:t>
                  </w:r>
                </w:p>
                <w:p w14:paraId="6B8A6E89" w14:textId="77777777" w:rsidR="00DD1D8B" w:rsidRDefault="00822B92" w:rsidP="00761095">
                  <w:pPr>
                    <w:spacing w:after="0" w:line="240" w:lineRule="auto"/>
                    <w:jc w:val="both"/>
                    <w:rPr>
                      <w:rFonts w:eastAsia="Arial"/>
                      <w:color w:val="000000"/>
                      <w:sz w:val="22"/>
                      <w:szCs w:val="22"/>
                    </w:rPr>
                  </w:pPr>
                  <w:r w:rsidRPr="00761095">
                    <w:rPr>
                      <w:rFonts w:eastAsia="Arial"/>
                      <w:color w:val="000000"/>
                      <w:sz w:val="22"/>
                      <w:szCs w:val="22"/>
                    </w:rPr>
                    <w:br/>
                    <w:t>Podnositelj prijave ne ispunjava uvjet iz točke 8.1.</w:t>
                  </w:r>
                  <w:r w:rsidR="00DD1D8B">
                    <w:rPr>
                      <w:rFonts w:eastAsia="Arial"/>
                      <w:color w:val="000000"/>
                      <w:sz w:val="22"/>
                      <w:szCs w:val="22"/>
                    </w:rPr>
                    <w:t xml:space="preserve"> Javnog natječaja – Obrazac A2-</w:t>
                  </w:r>
                  <w:r w:rsidRPr="00761095">
                    <w:rPr>
                      <w:rFonts w:eastAsia="Arial"/>
                      <w:color w:val="000000"/>
                      <w:sz w:val="22"/>
                      <w:szCs w:val="22"/>
                    </w:rPr>
                    <w:t>Troškovnik programa nije obrazac određen natječaje</w:t>
                  </w:r>
                  <w:r w:rsidR="00DD1D8B">
                    <w:rPr>
                      <w:rFonts w:eastAsia="Arial"/>
                      <w:color w:val="000000"/>
                      <w:sz w:val="22"/>
                      <w:szCs w:val="22"/>
                    </w:rPr>
                    <w:t>m na koji je program prijavljen;</w:t>
                  </w:r>
                </w:p>
                <w:p w14:paraId="43D4A544" w14:textId="041FC6C7" w:rsidR="00EB5962" w:rsidRPr="00761095" w:rsidRDefault="00822B92" w:rsidP="00761095">
                  <w:pPr>
                    <w:spacing w:after="0" w:line="240" w:lineRule="auto"/>
                    <w:jc w:val="both"/>
                    <w:rPr>
                      <w:sz w:val="22"/>
                      <w:szCs w:val="22"/>
                    </w:rPr>
                  </w:pPr>
                  <w:r w:rsidRPr="00761095">
                    <w:rPr>
                      <w:rFonts w:eastAsia="Arial"/>
                      <w:color w:val="000000"/>
                      <w:sz w:val="22"/>
                      <w:szCs w:val="22"/>
                    </w:rPr>
                    <w:br/>
                    <w:t>Podnositelj prijave ne ispunjava uvjet iz točke 8.1. Javnog natječaja – Obrasci A3</w:t>
                  </w:r>
                  <w:r w:rsidR="00DD1D8B">
                    <w:rPr>
                      <w:rFonts w:eastAsia="Arial"/>
                      <w:color w:val="000000"/>
                      <w:sz w:val="22"/>
                      <w:szCs w:val="22"/>
                    </w:rPr>
                    <w:t>-</w:t>
                  </w:r>
                  <w:r w:rsidRPr="00761095">
                    <w:rPr>
                      <w:rFonts w:eastAsia="Arial"/>
                      <w:color w:val="000000"/>
                      <w:sz w:val="22"/>
                      <w:szCs w:val="22"/>
                    </w:rPr>
                    <w:t>Izjava o partnerstvu nisu obrasci određeni natječajem n</w:t>
                  </w:r>
                  <w:r w:rsidR="00761095" w:rsidRPr="00761095">
                    <w:rPr>
                      <w:rFonts w:eastAsia="Arial"/>
                      <w:color w:val="000000"/>
                      <w:sz w:val="22"/>
                      <w:szCs w:val="22"/>
                    </w:rPr>
                    <w:t xml:space="preserve">a koji je program prijavljen. </w:t>
                  </w:r>
                </w:p>
              </w:tc>
            </w:tr>
            <w:tr w:rsidR="00580C34" w14:paraId="3B38E688" w14:textId="77777777" w:rsidTr="00761095">
              <w:trPr>
                <w:trHeight w:val="262"/>
              </w:trPr>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644B1E1" w14:textId="77777777" w:rsidR="00EB5962" w:rsidRPr="00761095" w:rsidRDefault="00822B92">
                  <w:pPr>
                    <w:spacing w:after="0" w:line="240" w:lineRule="auto"/>
                    <w:jc w:val="center"/>
                    <w:rPr>
                      <w:sz w:val="22"/>
                      <w:szCs w:val="22"/>
                    </w:rPr>
                  </w:pPr>
                  <w:r w:rsidRPr="00761095">
                    <w:rPr>
                      <w:rFonts w:eastAsia="Arial"/>
                      <w:color w:val="000000"/>
                      <w:sz w:val="22"/>
                      <w:szCs w:val="22"/>
                    </w:rPr>
                    <w:t>2.</w:t>
                  </w:r>
                </w:p>
              </w:tc>
              <w:tc>
                <w:tcPr>
                  <w:tcW w:w="3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468D84A" w14:textId="77777777" w:rsidR="00EB5962" w:rsidRPr="00761095" w:rsidRDefault="00822B92">
                  <w:pPr>
                    <w:spacing w:after="0" w:line="240" w:lineRule="auto"/>
                    <w:jc w:val="center"/>
                    <w:rPr>
                      <w:sz w:val="22"/>
                      <w:szCs w:val="22"/>
                    </w:rPr>
                  </w:pPr>
                  <w:r w:rsidRPr="00761095">
                    <w:rPr>
                      <w:rFonts w:eastAsia="Arial"/>
                      <w:color w:val="000000"/>
                      <w:sz w:val="22"/>
                      <w:szCs w:val="22"/>
                    </w:rPr>
                    <w:t>Društvo sportske rekreacije Gornji grad -Medveščak Zagreb</w:t>
                  </w:r>
                </w:p>
              </w:tc>
              <w:tc>
                <w:tcPr>
                  <w:tcW w:w="51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DCFD442" w14:textId="77777777" w:rsidR="00EB5962" w:rsidRPr="00761095" w:rsidRDefault="00822B92">
                  <w:pPr>
                    <w:spacing w:after="0" w:line="240" w:lineRule="auto"/>
                    <w:jc w:val="center"/>
                    <w:rPr>
                      <w:sz w:val="22"/>
                      <w:szCs w:val="22"/>
                    </w:rPr>
                  </w:pPr>
                  <w:r w:rsidRPr="00761095">
                    <w:rPr>
                      <w:rFonts w:eastAsia="Arial"/>
                      <w:color w:val="000000"/>
                      <w:sz w:val="22"/>
                      <w:szCs w:val="22"/>
                    </w:rPr>
                    <w:t>Terapija kroz pokret</w:t>
                  </w:r>
                </w:p>
              </w:tc>
              <w:tc>
                <w:tcPr>
                  <w:tcW w:w="57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F2BC24F" w14:textId="3281A05E" w:rsidR="00761095" w:rsidRDefault="00822B92" w:rsidP="00761095">
                  <w:pPr>
                    <w:spacing w:after="0" w:line="240" w:lineRule="auto"/>
                    <w:jc w:val="both"/>
                    <w:rPr>
                      <w:rFonts w:eastAsia="Arial"/>
                      <w:color w:val="000000"/>
                      <w:sz w:val="22"/>
                      <w:szCs w:val="22"/>
                    </w:rPr>
                  </w:pPr>
                  <w:r w:rsidRPr="00761095">
                    <w:rPr>
                      <w:rFonts w:eastAsia="Arial"/>
                      <w:color w:val="000000"/>
                      <w:sz w:val="22"/>
                      <w:szCs w:val="22"/>
                    </w:rPr>
                    <w:t>Podnositelj prijave ne ispunjava uvjet iz točke 2. Javnog natječaja – sveukupni iznos troškova koji se traži od Grada Zagreba</w:t>
                  </w:r>
                  <w:r w:rsidR="00DD1D8B">
                    <w:rPr>
                      <w:rFonts w:eastAsia="Arial"/>
                      <w:color w:val="000000"/>
                      <w:sz w:val="22"/>
                      <w:szCs w:val="22"/>
                    </w:rPr>
                    <w:t xml:space="preserve"> za 2026. godinu u Obrascu A2-</w:t>
                  </w:r>
                  <w:r w:rsidRPr="00761095">
                    <w:rPr>
                      <w:rFonts w:eastAsia="Arial"/>
                      <w:color w:val="000000"/>
                      <w:sz w:val="22"/>
                      <w:szCs w:val="22"/>
                    </w:rPr>
                    <w:t>Troškovnik programa veći je od najvećeg iznosa koji se može prijaviti i ugovoriti po pojedinom pro</w:t>
                  </w:r>
                  <w:r w:rsidR="00761095">
                    <w:rPr>
                      <w:rFonts w:eastAsia="Arial"/>
                      <w:color w:val="000000"/>
                      <w:sz w:val="22"/>
                      <w:szCs w:val="22"/>
                    </w:rPr>
                    <w:t>gramu za svaku godinu provedbe;</w:t>
                  </w:r>
                </w:p>
                <w:p w14:paraId="290EE376" w14:textId="436B1F6E" w:rsidR="00EB5962" w:rsidRPr="00761095" w:rsidRDefault="00822B92" w:rsidP="00761095">
                  <w:pPr>
                    <w:spacing w:after="0" w:line="240" w:lineRule="auto"/>
                    <w:jc w:val="both"/>
                    <w:rPr>
                      <w:sz w:val="22"/>
                      <w:szCs w:val="22"/>
                    </w:rPr>
                  </w:pPr>
                  <w:r w:rsidRPr="00761095">
                    <w:rPr>
                      <w:rFonts w:eastAsia="Arial"/>
                      <w:color w:val="000000"/>
                      <w:sz w:val="22"/>
                      <w:szCs w:val="22"/>
                    </w:rPr>
                    <w:br/>
                    <w:t xml:space="preserve">Podnositelj prijave ne ispunjava uvjet iz točke 5. podtočke 5.1. Javnog natječaj </w:t>
                  </w:r>
                  <w:r w:rsidR="00DD1D8B" w:rsidRPr="00761095">
                    <w:rPr>
                      <w:rFonts w:eastAsia="Arial"/>
                      <w:color w:val="000000"/>
                      <w:sz w:val="22"/>
                      <w:szCs w:val="22"/>
                    </w:rPr>
                    <w:t>–</w:t>
                  </w:r>
                  <w:r w:rsidR="00B823FA">
                    <w:rPr>
                      <w:rFonts w:eastAsia="Arial"/>
                      <w:color w:val="000000"/>
                      <w:sz w:val="22"/>
                      <w:szCs w:val="22"/>
                    </w:rPr>
                    <w:t xml:space="preserve"> u Obrascu </w:t>
                  </w:r>
                  <w:bookmarkStart w:id="0" w:name="_GoBack"/>
                  <w:bookmarkEnd w:id="0"/>
                  <w:r w:rsidR="00DD1D8B">
                    <w:rPr>
                      <w:rFonts w:eastAsia="Arial"/>
                      <w:color w:val="000000"/>
                      <w:sz w:val="22"/>
                      <w:szCs w:val="22"/>
                    </w:rPr>
                    <w:t>A2-</w:t>
                  </w:r>
                  <w:r w:rsidRPr="00761095">
                    <w:rPr>
                      <w:rFonts w:eastAsia="Arial"/>
                      <w:color w:val="000000"/>
                      <w:sz w:val="22"/>
                      <w:szCs w:val="22"/>
                    </w:rPr>
                    <w:t>Troškovnik programa nisu  ispunjene projekcije troškovn</w:t>
                  </w:r>
                  <w:r w:rsidR="00DD1D8B">
                    <w:rPr>
                      <w:rFonts w:eastAsia="Arial"/>
                      <w:color w:val="000000"/>
                      <w:sz w:val="22"/>
                      <w:szCs w:val="22"/>
                    </w:rPr>
                    <w:t xml:space="preserve">ika programa </w:t>
                  </w:r>
                  <w:r w:rsidR="00761095">
                    <w:rPr>
                      <w:rFonts w:eastAsia="Arial"/>
                      <w:color w:val="000000"/>
                      <w:sz w:val="22"/>
                      <w:szCs w:val="22"/>
                    </w:rPr>
                    <w:t xml:space="preserve">za 2027. i 2028. </w:t>
                  </w:r>
                </w:p>
              </w:tc>
            </w:tr>
            <w:tr w:rsidR="00580C34" w14:paraId="4DF6BCF8" w14:textId="77777777" w:rsidTr="00761095">
              <w:trPr>
                <w:trHeight w:val="262"/>
              </w:trPr>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0F0BFE2" w14:textId="77777777" w:rsidR="00EB5962" w:rsidRPr="00761095" w:rsidRDefault="00822B92">
                  <w:pPr>
                    <w:spacing w:after="0" w:line="240" w:lineRule="auto"/>
                    <w:jc w:val="center"/>
                    <w:rPr>
                      <w:sz w:val="22"/>
                      <w:szCs w:val="22"/>
                    </w:rPr>
                  </w:pPr>
                  <w:r w:rsidRPr="00761095">
                    <w:rPr>
                      <w:rFonts w:eastAsia="Arial"/>
                      <w:color w:val="000000"/>
                      <w:sz w:val="22"/>
                      <w:szCs w:val="22"/>
                    </w:rPr>
                    <w:lastRenderedPageBreak/>
                    <w:t>3.</w:t>
                  </w:r>
                </w:p>
              </w:tc>
              <w:tc>
                <w:tcPr>
                  <w:tcW w:w="3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EFDF7B9" w14:textId="77777777" w:rsidR="00EB5962" w:rsidRPr="00761095" w:rsidRDefault="00822B92">
                  <w:pPr>
                    <w:spacing w:after="0" w:line="240" w:lineRule="auto"/>
                    <w:jc w:val="center"/>
                    <w:rPr>
                      <w:sz w:val="22"/>
                      <w:szCs w:val="22"/>
                    </w:rPr>
                  </w:pPr>
                  <w:r w:rsidRPr="00761095">
                    <w:rPr>
                      <w:rFonts w:eastAsia="Arial"/>
                      <w:color w:val="000000"/>
                      <w:sz w:val="22"/>
                      <w:szCs w:val="22"/>
                    </w:rPr>
                    <w:t>Udruga Mini Motion</w:t>
                  </w:r>
                </w:p>
              </w:tc>
              <w:tc>
                <w:tcPr>
                  <w:tcW w:w="51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EC4387B" w14:textId="77777777" w:rsidR="00EB5962" w:rsidRPr="00761095" w:rsidRDefault="00822B92">
                  <w:pPr>
                    <w:spacing w:after="0" w:line="240" w:lineRule="auto"/>
                    <w:jc w:val="center"/>
                    <w:rPr>
                      <w:sz w:val="22"/>
                      <w:szCs w:val="22"/>
                    </w:rPr>
                  </w:pPr>
                  <w:r w:rsidRPr="00761095">
                    <w:rPr>
                      <w:rFonts w:eastAsia="Arial"/>
                      <w:color w:val="000000"/>
                      <w:sz w:val="22"/>
                      <w:szCs w:val="22"/>
                    </w:rPr>
                    <w:t>Mali pokreti, veliki razvoj</w:t>
                  </w:r>
                </w:p>
              </w:tc>
              <w:tc>
                <w:tcPr>
                  <w:tcW w:w="57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8B7CB15" w14:textId="0A0305FF" w:rsidR="00EB5962" w:rsidRPr="00761095" w:rsidRDefault="00822B92" w:rsidP="00761095">
                  <w:pPr>
                    <w:spacing w:after="0" w:line="240" w:lineRule="auto"/>
                    <w:jc w:val="both"/>
                    <w:rPr>
                      <w:sz w:val="22"/>
                      <w:szCs w:val="22"/>
                    </w:rPr>
                  </w:pPr>
                  <w:r w:rsidRPr="00761095">
                    <w:rPr>
                      <w:rFonts w:eastAsia="Arial"/>
                      <w:color w:val="000000"/>
                      <w:sz w:val="22"/>
                      <w:szCs w:val="22"/>
                    </w:rPr>
                    <w:t>Podnositelj prijave ne ispunjava uvjet iz točke 8.1. Javnog natječaja –</w:t>
                  </w:r>
                  <w:r w:rsidR="00E61AE2">
                    <w:rPr>
                      <w:rFonts w:eastAsia="Arial"/>
                      <w:color w:val="000000"/>
                      <w:sz w:val="22"/>
                      <w:szCs w:val="22"/>
                    </w:rPr>
                    <w:t xml:space="preserve"> Obrazac A2-</w:t>
                  </w:r>
                  <w:r w:rsidRPr="00761095">
                    <w:rPr>
                      <w:rFonts w:eastAsia="Arial"/>
                      <w:color w:val="000000"/>
                      <w:sz w:val="22"/>
                      <w:szCs w:val="22"/>
                    </w:rPr>
                    <w:t xml:space="preserve">Troškovnik programa nije obrazac određen natječajem na koji je program prijavljen. </w:t>
                  </w:r>
                </w:p>
              </w:tc>
            </w:tr>
            <w:tr w:rsidR="00580C34" w14:paraId="3A68FEBF" w14:textId="77777777" w:rsidTr="00761095">
              <w:trPr>
                <w:trHeight w:val="262"/>
              </w:trPr>
              <w:tc>
                <w:tcPr>
                  <w:tcW w:w="12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DBC55DB" w14:textId="77777777" w:rsidR="00EB5962" w:rsidRPr="00761095" w:rsidRDefault="00822B92">
                  <w:pPr>
                    <w:spacing w:after="0" w:line="240" w:lineRule="auto"/>
                    <w:jc w:val="center"/>
                    <w:rPr>
                      <w:sz w:val="22"/>
                      <w:szCs w:val="22"/>
                    </w:rPr>
                  </w:pPr>
                  <w:r w:rsidRPr="00761095">
                    <w:rPr>
                      <w:rFonts w:eastAsia="Arial"/>
                      <w:color w:val="000000"/>
                      <w:sz w:val="22"/>
                      <w:szCs w:val="22"/>
                    </w:rPr>
                    <w:t>4.</w:t>
                  </w:r>
                </w:p>
              </w:tc>
              <w:tc>
                <w:tcPr>
                  <w:tcW w:w="30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D366B48" w14:textId="77777777" w:rsidR="00EB5962" w:rsidRPr="00761095" w:rsidRDefault="00822B92">
                  <w:pPr>
                    <w:spacing w:after="0" w:line="240" w:lineRule="auto"/>
                    <w:jc w:val="center"/>
                    <w:rPr>
                      <w:sz w:val="22"/>
                      <w:szCs w:val="22"/>
                    </w:rPr>
                  </w:pPr>
                  <w:r w:rsidRPr="00761095">
                    <w:rPr>
                      <w:rFonts w:eastAsia="Arial"/>
                      <w:color w:val="000000"/>
                      <w:sz w:val="22"/>
                      <w:szCs w:val="22"/>
                    </w:rPr>
                    <w:t>UDRUGA ZA EDUKACIJU, DIJAGNOSTIKU I PSIHOTERAPIJU</w:t>
                  </w:r>
                </w:p>
              </w:tc>
              <w:tc>
                <w:tcPr>
                  <w:tcW w:w="51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3D74349" w14:textId="77777777" w:rsidR="00EB5962" w:rsidRPr="00761095" w:rsidRDefault="00822B92">
                  <w:pPr>
                    <w:spacing w:after="0" w:line="240" w:lineRule="auto"/>
                    <w:jc w:val="center"/>
                    <w:rPr>
                      <w:sz w:val="22"/>
                      <w:szCs w:val="22"/>
                    </w:rPr>
                  </w:pPr>
                  <w:r w:rsidRPr="00761095">
                    <w:rPr>
                      <w:rFonts w:eastAsia="Arial"/>
                      <w:color w:val="000000"/>
                      <w:sz w:val="22"/>
                      <w:szCs w:val="22"/>
                    </w:rPr>
                    <w:t>Obiteljski kompas - psihološka podrška djeci, mladima i obiteljima</w:t>
                  </w:r>
                </w:p>
              </w:tc>
              <w:tc>
                <w:tcPr>
                  <w:tcW w:w="57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180947B" w14:textId="12B1F9FC" w:rsidR="00761095" w:rsidRDefault="00822B92" w:rsidP="00761095">
                  <w:pPr>
                    <w:spacing w:after="0" w:line="240" w:lineRule="auto"/>
                    <w:jc w:val="both"/>
                    <w:rPr>
                      <w:rFonts w:eastAsia="Arial"/>
                      <w:color w:val="000000"/>
                      <w:sz w:val="22"/>
                      <w:szCs w:val="22"/>
                    </w:rPr>
                  </w:pPr>
                  <w:r w:rsidRPr="00761095">
                    <w:rPr>
                      <w:rFonts w:eastAsia="Arial"/>
                      <w:color w:val="000000"/>
                      <w:sz w:val="22"/>
                      <w:szCs w:val="22"/>
                    </w:rPr>
                    <w:t xml:space="preserve">Podnositelj prijave ne ispunjava uvjet iz točke 2. Javnog natječaja </w:t>
                  </w:r>
                  <w:r w:rsidR="00B739A1" w:rsidRPr="00761095">
                    <w:rPr>
                      <w:rFonts w:eastAsia="Arial"/>
                      <w:color w:val="000000"/>
                      <w:sz w:val="22"/>
                      <w:szCs w:val="22"/>
                    </w:rPr>
                    <w:t>–</w:t>
                  </w:r>
                  <w:r w:rsidRPr="00761095">
                    <w:rPr>
                      <w:rFonts w:eastAsia="Arial"/>
                      <w:color w:val="000000"/>
                      <w:sz w:val="22"/>
                      <w:szCs w:val="22"/>
                    </w:rPr>
                    <w:t xml:space="preserve"> prijava se ne odnosi na trogodišnji program. Predviđeni vremenski početak i završetak provedbe program</w:t>
                  </w:r>
                  <w:r w:rsidR="00761095">
                    <w:rPr>
                      <w:rFonts w:eastAsia="Arial"/>
                      <w:color w:val="000000"/>
                      <w:sz w:val="22"/>
                      <w:szCs w:val="22"/>
                    </w:rPr>
                    <w:t>a je od 1.2.2026. do 31.12.2026.;</w:t>
                  </w:r>
                </w:p>
                <w:p w14:paraId="043D300C" w14:textId="3EA97251" w:rsidR="00EB5962" w:rsidRPr="00761095" w:rsidRDefault="00822B92" w:rsidP="00761095">
                  <w:pPr>
                    <w:spacing w:after="0" w:line="240" w:lineRule="auto"/>
                    <w:jc w:val="both"/>
                    <w:rPr>
                      <w:sz w:val="22"/>
                      <w:szCs w:val="22"/>
                    </w:rPr>
                  </w:pPr>
                  <w:r w:rsidRPr="00761095">
                    <w:rPr>
                      <w:rFonts w:eastAsia="Arial"/>
                      <w:color w:val="000000"/>
                      <w:sz w:val="22"/>
                      <w:szCs w:val="22"/>
                    </w:rPr>
                    <w:br/>
                    <w:t xml:space="preserve">Podnositelj prijave ne ispunjava uvjet iz točke 8.1. </w:t>
                  </w:r>
                  <w:r w:rsidR="00B739A1">
                    <w:rPr>
                      <w:rFonts w:eastAsia="Arial"/>
                      <w:color w:val="000000"/>
                      <w:sz w:val="22"/>
                      <w:szCs w:val="22"/>
                    </w:rPr>
                    <w:t>Javnog natječaja – Obrazac A1-</w:t>
                  </w:r>
                  <w:r w:rsidRPr="00761095">
                    <w:rPr>
                      <w:rFonts w:eastAsia="Arial"/>
                      <w:color w:val="000000"/>
                      <w:sz w:val="22"/>
                      <w:szCs w:val="22"/>
                    </w:rPr>
                    <w:t>Prijava na Javni natječaj nije ispunjen u skladu s uputama, nisu navedeni traženi podaci o glavnim aktivnostima koje će se p</w:t>
                  </w:r>
                  <w:r w:rsidR="00761095">
                    <w:rPr>
                      <w:rFonts w:eastAsia="Arial"/>
                      <w:color w:val="000000"/>
                      <w:sz w:val="22"/>
                      <w:szCs w:val="22"/>
                    </w:rPr>
                    <w:t>rovoditi u provedbi programa.</w:t>
                  </w:r>
                </w:p>
              </w:tc>
            </w:tr>
          </w:tbl>
          <w:p w14:paraId="6901BCAD" w14:textId="77777777" w:rsidR="00EB5962" w:rsidRDefault="00EB5962">
            <w:pPr>
              <w:spacing w:after="0" w:line="240" w:lineRule="auto"/>
            </w:pPr>
          </w:p>
        </w:tc>
      </w:tr>
      <w:tr w:rsidR="00EB5962" w14:paraId="2546A0D8" w14:textId="77777777">
        <w:trPr>
          <w:trHeight w:val="1928"/>
        </w:trPr>
        <w:tc>
          <w:tcPr>
            <w:tcW w:w="15618" w:type="dxa"/>
          </w:tcPr>
          <w:p w14:paraId="3B4D7322" w14:textId="77777777" w:rsidR="00EB5962" w:rsidRDefault="00EB5962">
            <w:pPr>
              <w:pStyle w:val="EmptyCellLayoutStyle"/>
              <w:spacing w:after="0" w:line="240" w:lineRule="auto"/>
            </w:pPr>
          </w:p>
        </w:tc>
      </w:tr>
    </w:tbl>
    <w:p w14:paraId="21953F82" w14:textId="77777777" w:rsidR="00EB5962" w:rsidRDefault="00EB5962">
      <w:pPr>
        <w:spacing w:after="0" w:line="240" w:lineRule="auto"/>
      </w:pPr>
    </w:p>
    <w:sectPr w:rsidR="00EB5962">
      <w:footerReference w:type="default" r:id="rId7"/>
      <w:pgSz w:w="16837" w:h="11905" w:orient="landscape"/>
      <w:pgMar w:top="566" w:right="566" w:bottom="1131" w:left="566" w:header="0" w:footer="56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F29E4" w14:textId="77777777" w:rsidR="00497614" w:rsidRDefault="00497614">
      <w:pPr>
        <w:spacing w:after="0" w:line="240" w:lineRule="auto"/>
      </w:pPr>
      <w:r>
        <w:separator/>
      </w:r>
    </w:p>
  </w:endnote>
  <w:endnote w:type="continuationSeparator" w:id="0">
    <w:p w14:paraId="0774C5FC" w14:textId="77777777" w:rsidR="00497614" w:rsidRDefault="00497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000" w:firstRow="0" w:lastRow="0" w:firstColumn="0" w:lastColumn="0" w:noHBand="0" w:noVBand="0"/>
    </w:tblPr>
    <w:tblGrid>
      <w:gridCol w:w="6089"/>
      <w:gridCol w:w="6269"/>
      <w:gridCol w:w="3259"/>
    </w:tblGrid>
    <w:tr w:rsidR="00EB5962" w14:paraId="7BB68C77" w14:textId="77777777">
      <w:tc>
        <w:tcPr>
          <w:tcW w:w="6089" w:type="dxa"/>
        </w:tcPr>
        <w:p w14:paraId="37D01D38" w14:textId="77777777" w:rsidR="00EB5962" w:rsidRDefault="00EB5962">
          <w:pPr>
            <w:pStyle w:val="EmptyCellLayoutStyle"/>
            <w:spacing w:after="0" w:line="240" w:lineRule="auto"/>
          </w:pPr>
        </w:p>
      </w:tc>
      <w:tc>
        <w:tcPr>
          <w:tcW w:w="6269" w:type="dxa"/>
        </w:tcPr>
        <w:p w14:paraId="45FDD1AC" w14:textId="77777777" w:rsidR="00EB5962" w:rsidRDefault="00EB5962">
          <w:pPr>
            <w:pStyle w:val="EmptyCellLayoutStyle"/>
            <w:spacing w:after="0" w:line="240" w:lineRule="auto"/>
          </w:pPr>
        </w:p>
      </w:tc>
      <w:tc>
        <w:tcPr>
          <w:tcW w:w="3259" w:type="dxa"/>
        </w:tcPr>
        <w:p w14:paraId="356195A4" w14:textId="77777777" w:rsidR="00EB5962" w:rsidRDefault="00EB5962">
          <w:pPr>
            <w:pStyle w:val="EmptyCellLayoutStyle"/>
            <w:spacing w:after="0" w:line="240" w:lineRule="auto"/>
          </w:pPr>
        </w:p>
      </w:tc>
    </w:tr>
    <w:tr w:rsidR="00EB5962" w14:paraId="55DC3CA0" w14:textId="77777777">
      <w:tc>
        <w:tcPr>
          <w:tcW w:w="6089" w:type="dxa"/>
        </w:tcPr>
        <w:p w14:paraId="2537B3E8" w14:textId="77777777" w:rsidR="00EB5962" w:rsidRDefault="00EB5962">
          <w:pPr>
            <w:pStyle w:val="EmptyCellLayoutStyle"/>
            <w:spacing w:after="0" w:line="240" w:lineRule="auto"/>
          </w:pPr>
        </w:p>
      </w:tc>
      <w:tc>
        <w:tcPr>
          <w:tcW w:w="6269" w:type="dxa"/>
        </w:tcPr>
        <w:p w14:paraId="64FD9CBA" w14:textId="77777777" w:rsidR="00EB5962" w:rsidRDefault="00EB5962">
          <w:pPr>
            <w:pStyle w:val="EmptyCellLayoutStyle"/>
            <w:spacing w:after="0" w:line="240" w:lineRule="auto"/>
          </w:pPr>
        </w:p>
      </w:tc>
      <w:tc>
        <w:tcPr>
          <w:tcW w:w="3259" w:type="dxa"/>
          <w:vMerge w:val="restart"/>
        </w:tcPr>
        <w:p w14:paraId="134B9693" w14:textId="77777777" w:rsidR="00EB5962" w:rsidRDefault="00EB5962">
          <w:pPr>
            <w:spacing w:after="0" w:line="240" w:lineRule="auto"/>
          </w:pPr>
        </w:p>
      </w:tc>
    </w:tr>
    <w:tr w:rsidR="00EB5962" w14:paraId="62CA3E24" w14:textId="77777777">
      <w:tc>
        <w:tcPr>
          <w:tcW w:w="6089" w:type="dxa"/>
          <w:vMerge w:val="restart"/>
        </w:tcPr>
        <w:p w14:paraId="2244CA36" w14:textId="77777777" w:rsidR="00EB5962" w:rsidRDefault="00EB5962">
          <w:pPr>
            <w:spacing w:after="0" w:line="240" w:lineRule="auto"/>
          </w:pPr>
        </w:p>
      </w:tc>
      <w:tc>
        <w:tcPr>
          <w:tcW w:w="6269" w:type="dxa"/>
        </w:tcPr>
        <w:p w14:paraId="440E35B6" w14:textId="77777777" w:rsidR="00EB5962" w:rsidRDefault="00EB5962">
          <w:pPr>
            <w:pStyle w:val="EmptyCellLayoutStyle"/>
            <w:spacing w:after="0" w:line="240" w:lineRule="auto"/>
          </w:pPr>
        </w:p>
      </w:tc>
      <w:tc>
        <w:tcPr>
          <w:tcW w:w="3259" w:type="dxa"/>
          <w:vMerge/>
        </w:tcPr>
        <w:p w14:paraId="702F5484" w14:textId="77777777" w:rsidR="00EB5962" w:rsidRDefault="00EB5962">
          <w:pPr>
            <w:pStyle w:val="EmptyCellLayoutStyle"/>
            <w:spacing w:after="0" w:line="240" w:lineRule="auto"/>
          </w:pPr>
        </w:p>
      </w:tc>
    </w:tr>
    <w:tr w:rsidR="00EB5962" w14:paraId="2DA3415A" w14:textId="77777777">
      <w:tc>
        <w:tcPr>
          <w:tcW w:w="6089" w:type="dxa"/>
          <w:vMerge/>
        </w:tcPr>
        <w:p w14:paraId="03BEE464" w14:textId="77777777" w:rsidR="00EB5962" w:rsidRDefault="00EB5962">
          <w:pPr>
            <w:pStyle w:val="EmptyCellLayoutStyle"/>
            <w:spacing w:after="0" w:line="240" w:lineRule="auto"/>
          </w:pPr>
        </w:p>
      </w:tc>
      <w:tc>
        <w:tcPr>
          <w:tcW w:w="6269" w:type="dxa"/>
        </w:tcPr>
        <w:p w14:paraId="4D4C86BA" w14:textId="77777777" w:rsidR="00EB5962" w:rsidRDefault="00EB5962">
          <w:pPr>
            <w:pStyle w:val="EmptyCellLayoutStyle"/>
            <w:spacing w:after="0" w:line="240" w:lineRule="auto"/>
          </w:pPr>
        </w:p>
      </w:tc>
      <w:tc>
        <w:tcPr>
          <w:tcW w:w="3259" w:type="dxa"/>
        </w:tcPr>
        <w:p w14:paraId="0BD96278" w14:textId="77777777" w:rsidR="00EB5962" w:rsidRDefault="00EB5962">
          <w:pPr>
            <w:pStyle w:val="EmptyCellLayoutStyle"/>
            <w:spacing w:after="0" w:line="240" w:lineRule="auto"/>
          </w:pPr>
        </w:p>
      </w:tc>
    </w:tr>
    <w:tr w:rsidR="00EB5962" w14:paraId="45984D21" w14:textId="77777777">
      <w:tc>
        <w:tcPr>
          <w:tcW w:w="6089" w:type="dxa"/>
        </w:tcPr>
        <w:p w14:paraId="6B0EF687" w14:textId="77777777" w:rsidR="00EB5962" w:rsidRDefault="00EB5962">
          <w:pPr>
            <w:pStyle w:val="EmptyCellLayoutStyle"/>
            <w:spacing w:after="0" w:line="240" w:lineRule="auto"/>
          </w:pPr>
        </w:p>
      </w:tc>
      <w:tc>
        <w:tcPr>
          <w:tcW w:w="6269" w:type="dxa"/>
        </w:tcPr>
        <w:p w14:paraId="38149B45" w14:textId="77777777" w:rsidR="00EB5962" w:rsidRDefault="00EB5962">
          <w:pPr>
            <w:pStyle w:val="EmptyCellLayoutStyle"/>
            <w:spacing w:after="0" w:line="240" w:lineRule="auto"/>
          </w:pPr>
        </w:p>
      </w:tc>
      <w:tc>
        <w:tcPr>
          <w:tcW w:w="3259" w:type="dxa"/>
        </w:tcPr>
        <w:p w14:paraId="09957438" w14:textId="77777777" w:rsidR="00EB5962" w:rsidRDefault="00EB5962">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9E4E9" w14:textId="77777777" w:rsidR="00497614" w:rsidRDefault="00497614">
      <w:pPr>
        <w:spacing w:after="0" w:line="240" w:lineRule="auto"/>
      </w:pPr>
      <w:r>
        <w:separator/>
      </w:r>
    </w:p>
  </w:footnote>
  <w:footnote w:type="continuationSeparator" w:id="0">
    <w:p w14:paraId="2FB06385" w14:textId="77777777" w:rsidR="00497614" w:rsidRDefault="00497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962"/>
    <w:rsid w:val="002F6DF5"/>
    <w:rsid w:val="00415C50"/>
    <w:rsid w:val="00497614"/>
    <w:rsid w:val="00507153"/>
    <w:rsid w:val="00580C34"/>
    <w:rsid w:val="00761095"/>
    <w:rsid w:val="00822B92"/>
    <w:rsid w:val="008A437D"/>
    <w:rsid w:val="00974A53"/>
    <w:rsid w:val="009D2567"/>
    <w:rsid w:val="00B20DBF"/>
    <w:rsid w:val="00B30DA2"/>
    <w:rsid w:val="00B739A1"/>
    <w:rsid w:val="00B823FA"/>
    <w:rsid w:val="00C7179D"/>
    <w:rsid w:val="00DD1D8B"/>
    <w:rsid w:val="00E3454C"/>
    <w:rsid w:val="00E61AE2"/>
    <w:rsid w:val="00EB5962"/>
    <w:rsid w:val="00ED7B3A"/>
    <w:rsid w:val="00FC0D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0F962"/>
  <w15:docId w15:val="{08DB634A-0538-4937-AE0D-4BF3E7B4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mptyCellLayoutStyle">
    <w:name w:val="EmptyCellLayoutStyle"/>
    <w:rPr>
      <w:sz w:val="2"/>
    </w:rPr>
  </w:style>
  <w:style w:type="paragraph" w:styleId="Zaglavlje">
    <w:name w:val="header"/>
    <w:basedOn w:val="Normal"/>
    <w:link w:val="ZaglavljeChar"/>
    <w:uiPriority w:val="99"/>
    <w:unhideWhenUsed/>
    <w:rsid w:val="00580C3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80C34"/>
  </w:style>
  <w:style w:type="paragraph" w:styleId="Podnoje">
    <w:name w:val="footer"/>
    <w:basedOn w:val="Normal"/>
    <w:link w:val="PodnojeChar"/>
    <w:uiPriority w:val="99"/>
    <w:unhideWhenUsed/>
    <w:rsid w:val="00580C3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80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424</Words>
  <Characters>2421</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RS_02_ListOfAssociationsForWhichFundsAreDeniedForYear</vt:lpstr>
      <vt:lpstr>RS_02_ListOfAssociationsForWhichFundsAreDeniedForYear</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RS_02_ListOfAssociationsForWhichFundsAreDeniedForYear</dc:title>
  <dc:creator>Anamarija Kobačić Trošelj</dc:creator>
  <dc:description/>
  <cp:lastModifiedBy>Ivana Teskera Galić</cp:lastModifiedBy>
  <cp:revision>9</cp:revision>
  <dcterms:created xsi:type="dcterms:W3CDTF">2026-05-13T08:30:00Z</dcterms:created>
  <dcterms:modified xsi:type="dcterms:W3CDTF">2026-05-13T08:51:00Z</dcterms:modified>
</cp:coreProperties>
</file>